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A0" w:rsidRPr="00DD5EC5" w:rsidRDefault="002566A0" w:rsidP="002566A0">
      <w:pPr>
        <w:jc w:val="center"/>
        <w:rPr>
          <w:b/>
        </w:rPr>
      </w:pPr>
      <w:r w:rsidRPr="00DD5EC5">
        <w:rPr>
          <w:b/>
        </w:rPr>
        <w:t>TEHNIČNE SPECIFIKACIJE</w:t>
      </w:r>
    </w:p>
    <w:p w:rsidR="002566A0" w:rsidRPr="00DD5EC5" w:rsidRDefault="002566A0" w:rsidP="00F016A5">
      <w:pPr>
        <w:jc w:val="both"/>
      </w:pPr>
    </w:p>
    <w:p w:rsidR="002566A0" w:rsidRPr="00DD5EC5" w:rsidRDefault="002566A0" w:rsidP="00F016A5">
      <w:pPr>
        <w:jc w:val="both"/>
      </w:pPr>
    </w:p>
    <w:p w:rsidR="00B27B75" w:rsidRPr="00DD5EC5" w:rsidRDefault="00B27B75" w:rsidP="00B27B75">
      <w:pPr>
        <w:jc w:val="both"/>
        <w:rPr>
          <w:b/>
        </w:rPr>
      </w:pPr>
      <w:r w:rsidRPr="00DD5EC5">
        <w:t xml:space="preserve">Predmet javnega naročila: </w:t>
      </w:r>
      <w:r w:rsidR="00DD5EC5" w:rsidRPr="00DD5EC5">
        <w:rPr>
          <w:b/>
        </w:rPr>
        <w:t>K</w:t>
      </w:r>
      <w:r w:rsidRPr="00DD5EC5">
        <w:rPr>
          <w:b/>
        </w:rPr>
        <w:t>o</w:t>
      </w:r>
      <w:r w:rsidR="00DD5EC5">
        <w:rPr>
          <w:b/>
        </w:rPr>
        <w:t>stni cement</w:t>
      </w:r>
    </w:p>
    <w:p w:rsidR="00B27B75" w:rsidRPr="00DD5EC5" w:rsidRDefault="00B27B75" w:rsidP="00B27B75">
      <w:pPr>
        <w:jc w:val="both"/>
        <w:rPr>
          <w:b/>
        </w:rPr>
      </w:pPr>
    </w:p>
    <w:p w:rsidR="00B27B75" w:rsidRPr="00DD5EC5" w:rsidRDefault="00B27B75" w:rsidP="00B27B75">
      <w:pPr>
        <w:jc w:val="both"/>
        <w:rPr>
          <w:b/>
        </w:rPr>
      </w:pPr>
      <w:r w:rsidRPr="00DD5EC5">
        <w:rPr>
          <w:b/>
        </w:rPr>
        <w:t>Sklop 1: kostni cement a 40g – sterilen</w:t>
      </w:r>
    </w:p>
    <w:p w:rsidR="00B27B75" w:rsidRPr="00DD5EC5" w:rsidRDefault="00B27B75" w:rsidP="00B27B75">
      <w:pPr>
        <w:jc w:val="both"/>
        <w:rPr>
          <w:b/>
        </w:rPr>
      </w:pPr>
      <w:r w:rsidRPr="00DD5EC5">
        <w:rPr>
          <w:b/>
        </w:rPr>
        <w:t>Sklop 2: kostni cement za revizije a 40g – sterilen</w:t>
      </w:r>
    </w:p>
    <w:p w:rsidR="00B27B75" w:rsidRPr="00DD5EC5" w:rsidRDefault="00B27B75" w:rsidP="00B27B75">
      <w:pPr>
        <w:jc w:val="both"/>
        <w:rPr>
          <w:b/>
        </w:rPr>
      </w:pPr>
      <w:r w:rsidRPr="00DD5EC5">
        <w:rPr>
          <w:b/>
        </w:rPr>
        <w:t>Sklop 3: set za mešanje cementa</w:t>
      </w:r>
    </w:p>
    <w:p w:rsidR="00B27B75" w:rsidRPr="00DD5EC5" w:rsidRDefault="00B27B75" w:rsidP="00B27B75">
      <w:pPr>
        <w:jc w:val="both"/>
        <w:rPr>
          <w:b/>
        </w:rPr>
      </w:pPr>
      <w:r w:rsidRPr="00DD5EC5">
        <w:rPr>
          <w:b/>
        </w:rPr>
        <w:t>Sklop 4: sistem za pulzno izpiranje cementa</w:t>
      </w:r>
    </w:p>
    <w:p w:rsidR="00B27B75" w:rsidRPr="00DD5EC5" w:rsidRDefault="00B27B75" w:rsidP="00B27B75">
      <w:pPr>
        <w:jc w:val="both"/>
        <w:rPr>
          <w:b/>
        </w:rPr>
      </w:pPr>
      <w:r w:rsidRPr="00DD5EC5">
        <w:rPr>
          <w:b/>
        </w:rPr>
        <w:t>Sklop 5: set za mešanje cementa - prednapolnjen</w:t>
      </w:r>
    </w:p>
    <w:p w:rsidR="00B27B75" w:rsidRPr="00DD5EC5" w:rsidRDefault="00B27B75" w:rsidP="00B27B75">
      <w:pPr>
        <w:jc w:val="both"/>
      </w:pPr>
    </w:p>
    <w:p w:rsidR="00B27B75" w:rsidRPr="00DD5EC5" w:rsidRDefault="00B27B75" w:rsidP="00B27B75">
      <w:pPr>
        <w:jc w:val="both"/>
      </w:pPr>
    </w:p>
    <w:p w:rsidR="00B27B75" w:rsidRPr="00DD5EC5" w:rsidRDefault="00B27B75" w:rsidP="00B27B75">
      <w:pPr>
        <w:jc w:val="center"/>
        <w:rPr>
          <w:rFonts w:eastAsia="Arial Unicode MS"/>
        </w:rPr>
      </w:pPr>
      <w:r w:rsidRPr="00DD5EC5">
        <w:rPr>
          <w:rFonts w:eastAsia="Arial Unicode MS"/>
        </w:rPr>
        <w:t>STROKOVNE ZAHTEVE NAROČNIKA</w:t>
      </w:r>
    </w:p>
    <w:p w:rsidR="00B27B75" w:rsidRPr="00DD5EC5" w:rsidRDefault="00B27B75" w:rsidP="00B27B75">
      <w:pPr>
        <w:jc w:val="both"/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B72" w:rsidRDefault="00761B72" w:rsidP="00B27B75">
            <w:pPr>
              <w:rPr>
                <w:b/>
              </w:rPr>
            </w:pPr>
          </w:p>
          <w:p w:rsidR="00B27B75" w:rsidRPr="00DD5EC5" w:rsidRDefault="00B27B75" w:rsidP="00B27B75">
            <w:pPr>
              <w:rPr>
                <w:b/>
              </w:rPr>
            </w:pPr>
            <w:r w:rsidRPr="00DD5EC5">
              <w:rPr>
                <w:b/>
              </w:rPr>
              <w:t>SKLOP 1: KOSTNI CEMENT A 40G – STERILEN</w:t>
            </w:r>
          </w:p>
          <w:p w:rsidR="00B27B75" w:rsidRPr="00DD5EC5" w:rsidRDefault="00B27B75" w:rsidP="00B27B75"/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ind w:left="54"/>
              <w:jc w:val="both"/>
            </w:pPr>
            <w:r w:rsidRPr="00DD5EC5">
              <w:t>- mehanske in fizikalne lastnost kostnega cementa morajo ustrezati zahtevam ISO 5833</w:t>
            </w: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kostni cement mora vsebovati kot radioopačno sredstvo cirkonijev dioksid</w:t>
            </w: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 xml:space="preserve">- kostni cement mora biti obarvan, kar omogoča nedvoumno razločevanje od ostalega tkiva med operativnim posegom; 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posamezno pakiranje antibiotičnega cementa mora vsebovati najmanj 0,5g  gentamicin sulfata</w:t>
            </w: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uporabljeni antibiotiki morajo ustrezati zahtevam Evropske farmakopeje (Ph.Eur)</w:t>
            </w: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kostni cement mora imeti dokazila o kumulativnem sproščanju vgrajenega antibiotika nad MIC za obdobje najmanj 10 dni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kostni cement mora imeti dokazila o varni in učinkoviti uporabi v klinični praksi za obdobje najmanj 5 let</w:t>
            </w: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761B72">
            <w:pPr>
              <w:ind w:left="1080"/>
              <w:jc w:val="both"/>
            </w:pPr>
          </w:p>
          <w:p w:rsidR="00B27B75" w:rsidRPr="00761B72" w:rsidRDefault="00B27B75" w:rsidP="00761B72">
            <w:pPr>
              <w:jc w:val="both"/>
              <w:rPr>
                <w:b/>
              </w:rPr>
            </w:pPr>
            <w:r w:rsidRPr="00761B72">
              <w:rPr>
                <w:b/>
              </w:rPr>
              <w:t>SKLOP 2: KOSTNI CEMENT ZA REVIZIJE A 40G – STERILEN</w:t>
            </w:r>
          </w:p>
          <w:p w:rsidR="00761B72" w:rsidRDefault="00761B72" w:rsidP="00761B72">
            <w:pPr>
              <w:jc w:val="both"/>
            </w:pPr>
          </w:p>
          <w:p w:rsidR="00B27B75" w:rsidRPr="00DD5EC5" w:rsidRDefault="00761B72" w:rsidP="00761B72">
            <w:pPr>
              <w:jc w:val="both"/>
            </w:pPr>
            <w:r>
              <w:t>-</w:t>
            </w:r>
            <w:bookmarkStart w:id="0" w:name="_GoBack"/>
            <w:bookmarkEnd w:id="0"/>
            <w:r w:rsidR="00B27B75" w:rsidRPr="00DD5EC5">
              <w:t>kostni cement mora vsebovati kot radioopačno sredstvo cirkonijev dioksid</w:t>
            </w:r>
          </w:p>
          <w:p w:rsidR="00761B72" w:rsidRDefault="00761B72" w:rsidP="00761B72">
            <w:pPr>
              <w:jc w:val="both"/>
            </w:pPr>
          </w:p>
          <w:p w:rsidR="00B27B75" w:rsidRPr="00DD5EC5" w:rsidRDefault="00761B72" w:rsidP="00761B72">
            <w:pPr>
              <w:jc w:val="both"/>
            </w:pPr>
            <w:r>
              <w:t>-</w:t>
            </w:r>
            <w:r w:rsidR="00B27B75" w:rsidRPr="00DD5EC5">
              <w:t xml:space="preserve">kostni cement mora biti obarvan, kar omogoča nedvoumno razločevanje od ostalega tkiva med operativnim posegom; </w:t>
            </w:r>
          </w:p>
          <w:p w:rsidR="00B27B75" w:rsidRPr="00DD5EC5" w:rsidRDefault="00B27B75" w:rsidP="00761B72">
            <w:pPr>
              <w:jc w:val="both"/>
            </w:pP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761B72" w:rsidP="00761B72">
            <w:pPr>
              <w:jc w:val="both"/>
            </w:pPr>
            <w:r>
              <w:t>-</w:t>
            </w:r>
            <w:r w:rsidR="00B27B75" w:rsidRPr="00DD5EC5">
              <w:t>posamezno pakiranje antibiotičnega cementa za revizije mora vsebovati kombinacijo 1g gentamicin sulfata in 1g klindamicina</w:t>
            </w:r>
          </w:p>
          <w:p w:rsidR="00B27B75" w:rsidRPr="00DD5EC5" w:rsidRDefault="00B27B75" w:rsidP="00761B72">
            <w:pPr>
              <w:jc w:val="both"/>
            </w:pP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761B72" w:rsidP="00761B72">
            <w:pPr>
              <w:jc w:val="both"/>
            </w:pPr>
            <w:r>
              <w:t>-</w:t>
            </w:r>
            <w:r w:rsidR="00B27B75" w:rsidRPr="00DD5EC5">
              <w:t>revizijski kostni cement mora imeti dokazila o kumulativnem sproščanju vgrajenega antibiotika nad MIC (minimalno inhibitorno koncentracijo) za obdobje najmanj 10 dni</w:t>
            </w:r>
          </w:p>
          <w:p w:rsidR="00B27B75" w:rsidRPr="00DD5EC5" w:rsidRDefault="00B27B75" w:rsidP="00761B72">
            <w:pPr>
              <w:jc w:val="both"/>
            </w:pP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761B72" w:rsidP="00761B72">
            <w:pPr>
              <w:jc w:val="both"/>
            </w:pPr>
            <w:r>
              <w:t>-</w:t>
            </w:r>
            <w:r w:rsidR="00B27B75" w:rsidRPr="00DD5EC5">
              <w:t>revizijski kostni cement mora imeti dokazila o varni in učinkoviti uporabi v klinični praksi za obdobje najmanj 5 let</w:t>
            </w: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</w:p>
          <w:p w:rsidR="00B27B75" w:rsidRPr="00DD5EC5" w:rsidRDefault="00B27B75" w:rsidP="00B27B75">
            <w:pPr>
              <w:jc w:val="both"/>
              <w:rPr>
                <w:b/>
              </w:rPr>
            </w:pPr>
            <w:r w:rsidRPr="00DD5EC5">
              <w:rPr>
                <w:b/>
              </w:rPr>
              <w:t>SKLOP 3: SET ZA MEŠANJE CEMENTA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 xml:space="preserve">Set za vakuumsko mešanje mora: 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 xml:space="preserve">- uporabljati centralni zrak v OP za pogon črpalke 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omogočati enostavno povezavo med črpalko in sterilnim delom seta preko fleksibilne cevi</w:t>
            </w: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omogočati mešanje kateregakoli tipa kostnega cementa ne glede na stopnjo viskoznost oziroma proizvajalca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omogočati enostavno polnjenje (najprej tekočina, nato prah) in zapiranje brizge (t.i. Snap-lock) ter centralno praznjenje brizge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76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omogočati popolno vakuumsko mešanje kostnega cementa v vseh fazah priprave cementa, brez vmesnega odpiranja brizge in s tem kontakta med zrakom in cementom</w:t>
            </w: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omogočati skrajševanje cevnega nastavka brez uporabe dodatnega inštrumenta</w:t>
            </w: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filtrirni del sistema mora biti del seta za enkratno uporabo; filter sestavljen iz tekstilnega in karbonskega dela</w:t>
            </w: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</w:p>
          <w:p w:rsidR="00B27B75" w:rsidRPr="00DD5EC5" w:rsidRDefault="00B27B75" w:rsidP="00402292">
            <w:pPr>
              <w:jc w:val="both"/>
            </w:pPr>
            <w:r w:rsidRPr="00DD5EC5">
              <w:rPr>
                <w:b/>
              </w:rPr>
              <w:t>SKLOP 4: SISTEM ZA PULZNO IZPIRANJE CEMENTA</w:t>
            </w:r>
            <w:r w:rsidRPr="00DD5EC5">
              <w:t xml:space="preserve"> 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sistem mora omogočati delovanje na centralni OP zrak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sistem mora omogočati pulzno spiranje kostnih kanalov oziroma kosti pred cementiranjem s odplavljanjem nečistoč in kostnih ostankov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nastavki morajo biti prilagojeni spiranjem različnih mest – kolk, koleno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sistem za spiranje kolka mora omogočati nastavke za spiranje acetabularnega dela in femoralnega kanala.</w:t>
            </w: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</w:p>
          <w:p w:rsidR="00B27B75" w:rsidRPr="00DD5EC5" w:rsidRDefault="00B27B75" w:rsidP="00402292">
            <w:pPr>
              <w:jc w:val="both"/>
            </w:pPr>
            <w:r w:rsidRPr="00DD5EC5">
              <w:rPr>
                <w:b/>
              </w:rPr>
              <w:t>SKLOP 5: SET ZA MEŠANJE CEMENTA - PREDNAPOLNJEN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5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set za mešanje cementa mora biti prednapolnjen z visoko-viskoznim antibiotičnim kostnim cementom, ki ustreza zahtevam za 1. sklop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76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zahtevani način pakiranja ne sme vplivati na stabilnost in fizikalno-kemične lastnosti vgrajenega antibiotičnega kostnega cementa, kar dokazuje s testi sproščanja antibiotika ter testi po ISO 5833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  <w:r w:rsidRPr="00DD5EC5">
              <w:t>- sistem za mešanje cementa mora ustrezati zahtevam za 3.sklop</w:t>
            </w: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B27B75">
            <w:pPr>
              <w:jc w:val="center"/>
            </w:pPr>
            <w:r w:rsidRPr="00DD5EC5">
              <w:t>SPLOŠNE ZAHTEVE:</w:t>
            </w:r>
          </w:p>
          <w:p w:rsidR="00B27B75" w:rsidRPr="00DD5EC5" w:rsidRDefault="00B27B75" w:rsidP="00B27B75">
            <w:pPr>
              <w:jc w:val="center"/>
            </w:pP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B27B75">
            <w:pPr>
              <w:pStyle w:val="Odstavekseznama"/>
              <w:numPr>
                <w:ilvl w:val="0"/>
                <w:numId w:val="11"/>
              </w:numPr>
              <w:jc w:val="both"/>
            </w:pPr>
            <w:r w:rsidRPr="00DD5EC5">
              <w:lastRenderedPageBreak/>
              <w:t>P</w:t>
            </w:r>
            <w:r w:rsidRPr="00DD5EC5">
              <w:t>onudnik mora zagotavljati brezplačno uporabo pištol in črpalk za ponujene sisteme, prav tako njihovo redno vzdrževanje</w:t>
            </w:r>
          </w:p>
          <w:p w:rsidR="00B27B75" w:rsidRPr="00DD5EC5" w:rsidRDefault="00B27B75" w:rsidP="00402292">
            <w:pPr>
              <w:jc w:val="both"/>
            </w:pPr>
          </w:p>
        </w:tc>
      </w:tr>
      <w:tr w:rsidR="00B27B75" w:rsidRPr="00DD5EC5" w:rsidTr="00402292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B75" w:rsidRPr="00DD5EC5" w:rsidRDefault="00B27B75" w:rsidP="00B27B75">
            <w:pPr>
              <w:pStyle w:val="Odstavekseznama"/>
              <w:numPr>
                <w:ilvl w:val="0"/>
                <w:numId w:val="11"/>
              </w:numPr>
              <w:ind w:left="589"/>
              <w:jc w:val="both"/>
            </w:pPr>
            <w:r w:rsidRPr="00DD5EC5">
              <w:t>P</w:t>
            </w:r>
            <w:r w:rsidRPr="00DD5EC5">
              <w:t>onudnik mora zagotavljati brezplačno nadomeščanje pištol in črpalk za ponujene sisteme v času popravila</w:t>
            </w:r>
          </w:p>
        </w:tc>
      </w:tr>
    </w:tbl>
    <w:p w:rsidR="00B27B75" w:rsidRPr="00DD5EC5" w:rsidRDefault="00B27B75" w:rsidP="00B27B75">
      <w:pPr>
        <w:jc w:val="both"/>
      </w:pPr>
    </w:p>
    <w:p w:rsidR="00B27B75" w:rsidRPr="00DD5EC5" w:rsidRDefault="00B27B75" w:rsidP="00B27B75">
      <w:pPr>
        <w:pStyle w:val="Odstavekseznama"/>
        <w:numPr>
          <w:ilvl w:val="0"/>
          <w:numId w:val="11"/>
        </w:numPr>
        <w:jc w:val="both"/>
      </w:pPr>
      <w:r w:rsidRPr="00DD5EC5">
        <w:t>Posamezni artikli in količine so navedene v obrazcu predračuna. Ponudnik mora predložiti ponudbo za vse artikle v posameznem sklopu. Količine, navedene v obrazcu  predračuna  so okvirne in ne zavezujejo naročnika k nakupu vseh navedenih količin.</w:t>
      </w:r>
    </w:p>
    <w:p w:rsidR="00B27B75" w:rsidRPr="00DD5EC5" w:rsidRDefault="00B27B75" w:rsidP="00B27B75">
      <w:pPr>
        <w:jc w:val="both"/>
      </w:pPr>
    </w:p>
    <w:p w:rsidR="00B27B75" w:rsidRPr="00DD5EC5" w:rsidRDefault="00B27B75" w:rsidP="00B27B75">
      <w:pPr>
        <w:pStyle w:val="Naslov1"/>
        <w:numPr>
          <w:ilvl w:val="0"/>
          <w:numId w:val="11"/>
        </w:numPr>
        <w:jc w:val="both"/>
      </w:pPr>
      <w:r w:rsidRPr="00DD5EC5">
        <w:t xml:space="preserve">Po pregledu  ponudbene dokumentacije bo naročnik odločil ali le-ti izpolnjujejo strokovne in tehnične zahteve določene v dokumentaciji v zvezi z oddajo javnega naročila. </w:t>
      </w:r>
    </w:p>
    <w:p w:rsidR="00B27B75" w:rsidRPr="00DD5EC5" w:rsidRDefault="00B27B75" w:rsidP="00B27B75">
      <w:pPr>
        <w:jc w:val="both"/>
      </w:pPr>
    </w:p>
    <w:p w:rsidR="00B27B75" w:rsidRPr="00DD5EC5" w:rsidRDefault="00B27B75" w:rsidP="00B27B75">
      <w:pPr>
        <w:pStyle w:val="Odstavekseznama"/>
        <w:numPr>
          <w:ilvl w:val="0"/>
          <w:numId w:val="11"/>
        </w:numPr>
        <w:jc w:val="both"/>
        <w:rPr>
          <w:bCs/>
        </w:rPr>
      </w:pPr>
      <w:r w:rsidRPr="00DD5EC5">
        <w:rPr>
          <w:bCs/>
        </w:rPr>
        <w:t>Trajanje naročila: 2 leti</w:t>
      </w:r>
    </w:p>
    <w:p w:rsidR="00B27B75" w:rsidRPr="00DD5EC5" w:rsidRDefault="00B27B75" w:rsidP="00B27B75">
      <w:pPr>
        <w:jc w:val="both"/>
      </w:pPr>
    </w:p>
    <w:p w:rsidR="00B27B75" w:rsidRPr="00DD5EC5" w:rsidRDefault="00B27B75" w:rsidP="00B27B75">
      <w:pPr>
        <w:pStyle w:val="Naslov1"/>
        <w:numPr>
          <w:ilvl w:val="0"/>
          <w:numId w:val="11"/>
        </w:numPr>
        <w:jc w:val="both"/>
        <w:rPr>
          <w:szCs w:val="24"/>
        </w:rPr>
      </w:pPr>
      <w:r w:rsidRPr="00DD5EC5">
        <w:rPr>
          <w:szCs w:val="24"/>
        </w:rPr>
        <w:t>Ponudniki bodo morali predložiti vzorce ponujenih izdelkov tekom postopka strokovnega ocenjevanja ponudb na morebitno naročnikovo zahtevo. Vzorci morajo biti dostavljeni na dan, ki ga bo določil naročnik</w:t>
      </w:r>
      <w:r w:rsidRPr="00DD5EC5">
        <w:rPr>
          <w:szCs w:val="24"/>
        </w:rPr>
        <w:t>, vendar ne prej kot v petih dneh od zahteve naročnika</w:t>
      </w:r>
      <w:r w:rsidRPr="00DD5EC5">
        <w:rPr>
          <w:szCs w:val="24"/>
        </w:rPr>
        <w:t>. V primeru, da ponudnik ne dostavi vzorcev oz. jih ne dostavi v predpisanem roku, bo naročnik smatral, da odstopa od ponudbe. Po preizkusu bo naročnik glede na specifičnost zdravstvene dejavnosti, ki jo opravlja, odločil o razpisanih artiklih, ki optimalno ustrezajo načinu dela v bolnišnici.</w:t>
      </w:r>
    </w:p>
    <w:p w:rsidR="00B27B75" w:rsidRPr="00DD5EC5" w:rsidRDefault="00B27B75" w:rsidP="00B27B75">
      <w:pPr>
        <w:jc w:val="both"/>
      </w:pPr>
    </w:p>
    <w:p w:rsidR="00B27B75" w:rsidRPr="00DD5EC5" w:rsidRDefault="00B27B75" w:rsidP="00B27B75">
      <w:pPr>
        <w:jc w:val="both"/>
      </w:pPr>
    </w:p>
    <w:p w:rsidR="00B27B75" w:rsidRPr="00DD5EC5" w:rsidRDefault="00B27B75" w:rsidP="00B27B75">
      <w:pPr>
        <w:jc w:val="both"/>
      </w:pPr>
    </w:p>
    <w:p w:rsidR="00B27B75" w:rsidRPr="00DD5EC5" w:rsidRDefault="00B27B75" w:rsidP="00B27B75">
      <w:pPr>
        <w:jc w:val="both"/>
      </w:pPr>
    </w:p>
    <w:p w:rsidR="001F5901" w:rsidRPr="00DD5EC5" w:rsidRDefault="007440E5"/>
    <w:sectPr w:rsidR="001F5901" w:rsidRPr="00DD5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E5" w:rsidRDefault="007440E5" w:rsidP="002566A0">
      <w:r>
        <w:separator/>
      </w:r>
    </w:p>
  </w:endnote>
  <w:endnote w:type="continuationSeparator" w:id="0">
    <w:p w:rsidR="007440E5" w:rsidRDefault="007440E5" w:rsidP="0025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22" w:rsidRPr="00D21A7F" w:rsidRDefault="008B0105" w:rsidP="00291222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Kostni cement</w:t>
    </w:r>
    <w:r w:rsidR="00291222" w:rsidRPr="00D21A7F">
      <w:rPr>
        <w:sz w:val="20"/>
        <w:szCs w:val="20"/>
      </w:rPr>
      <w:t xml:space="preserve">  (JN </w:t>
    </w:r>
    <w:r>
      <w:rPr>
        <w:sz w:val="20"/>
        <w:szCs w:val="20"/>
      </w:rPr>
      <w:t>10</w:t>
    </w:r>
    <w:r w:rsidR="00291222" w:rsidRPr="00D21A7F">
      <w:rPr>
        <w:sz w:val="20"/>
        <w:szCs w:val="20"/>
      </w:rPr>
      <w:t>-20</w:t>
    </w:r>
    <w:r w:rsidR="00291222">
      <w:rPr>
        <w:sz w:val="20"/>
        <w:szCs w:val="20"/>
      </w:rPr>
      <w:t>20</w:t>
    </w:r>
    <w:r w:rsidR="00291222" w:rsidRPr="00D21A7F">
      <w:rPr>
        <w:sz w:val="20"/>
        <w:szCs w:val="20"/>
      </w:rPr>
      <w:t>)</w:t>
    </w:r>
  </w:p>
  <w:p w:rsidR="00291222" w:rsidRDefault="002912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E5" w:rsidRDefault="007440E5" w:rsidP="002566A0">
      <w:r>
        <w:separator/>
      </w:r>
    </w:p>
  </w:footnote>
  <w:footnote w:type="continuationSeparator" w:id="0">
    <w:p w:rsidR="007440E5" w:rsidRDefault="007440E5" w:rsidP="0025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0" w:rsidRPr="00390DBF" w:rsidRDefault="002566A0" w:rsidP="002566A0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  <w:p w:rsidR="002566A0" w:rsidRDefault="002566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39C9"/>
    <w:multiLevelType w:val="hybridMultilevel"/>
    <w:tmpl w:val="353EF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2D2"/>
    <w:multiLevelType w:val="hybridMultilevel"/>
    <w:tmpl w:val="71AE7C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4372"/>
    <w:multiLevelType w:val="hybridMultilevel"/>
    <w:tmpl w:val="AB4AEBD6"/>
    <w:lvl w:ilvl="0" w:tplc="EE2463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00A0B"/>
    <w:multiLevelType w:val="hybridMultilevel"/>
    <w:tmpl w:val="093E13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3502E"/>
    <w:multiLevelType w:val="hybridMultilevel"/>
    <w:tmpl w:val="ABFC4C40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F6CBB"/>
    <w:multiLevelType w:val="hybridMultilevel"/>
    <w:tmpl w:val="2F566256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B63A3"/>
    <w:multiLevelType w:val="hybridMultilevel"/>
    <w:tmpl w:val="5E428186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A308E"/>
    <w:multiLevelType w:val="hybridMultilevel"/>
    <w:tmpl w:val="B972D7B2"/>
    <w:lvl w:ilvl="0" w:tplc="BE5688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75371"/>
    <w:multiLevelType w:val="hybridMultilevel"/>
    <w:tmpl w:val="DED4136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85E4A"/>
    <w:multiLevelType w:val="hybridMultilevel"/>
    <w:tmpl w:val="F09651F6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03673"/>
    <w:multiLevelType w:val="hybridMultilevel"/>
    <w:tmpl w:val="50DC57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916E5"/>
    <w:multiLevelType w:val="hybridMultilevel"/>
    <w:tmpl w:val="0A24683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E4BE8"/>
    <w:multiLevelType w:val="hybridMultilevel"/>
    <w:tmpl w:val="AA561946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3118"/>
    <w:multiLevelType w:val="hybridMultilevel"/>
    <w:tmpl w:val="5B36AD1C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A5"/>
    <w:rsid w:val="000220CF"/>
    <w:rsid w:val="00036521"/>
    <w:rsid w:val="00057958"/>
    <w:rsid w:val="00087C7B"/>
    <w:rsid w:val="00102390"/>
    <w:rsid w:val="00127CFE"/>
    <w:rsid w:val="00195656"/>
    <w:rsid w:val="001C4058"/>
    <w:rsid w:val="00206899"/>
    <w:rsid w:val="00252279"/>
    <w:rsid w:val="002566A0"/>
    <w:rsid w:val="00273A69"/>
    <w:rsid w:val="00291222"/>
    <w:rsid w:val="00335B1F"/>
    <w:rsid w:val="003E479A"/>
    <w:rsid w:val="00451D99"/>
    <w:rsid w:val="004774A4"/>
    <w:rsid w:val="00495195"/>
    <w:rsid w:val="00603500"/>
    <w:rsid w:val="006325AB"/>
    <w:rsid w:val="006B7A68"/>
    <w:rsid w:val="007440E5"/>
    <w:rsid w:val="00761B72"/>
    <w:rsid w:val="008304A3"/>
    <w:rsid w:val="008942B1"/>
    <w:rsid w:val="00897C17"/>
    <w:rsid w:val="008B0105"/>
    <w:rsid w:val="00A559CD"/>
    <w:rsid w:val="00A851C9"/>
    <w:rsid w:val="00B178D6"/>
    <w:rsid w:val="00B27B75"/>
    <w:rsid w:val="00BB2182"/>
    <w:rsid w:val="00CD7826"/>
    <w:rsid w:val="00CF4C4B"/>
    <w:rsid w:val="00DD5EC5"/>
    <w:rsid w:val="00DD6FE1"/>
    <w:rsid w:val="00E0357F"/>
    <w:rsid w:val="00F016A5"/>
    <w:rsid w:val="00F27118"/>
    <w:rsid w:val="00F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52A3"/>
  <w15:chartTrackingRefBased/>
  <w15:docId w15:val="{F79C3EB4-BE68-4369-823C-B9055320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H1,H11,H12,H13"/>
    <w:basedOn w:val="Navaden"/>
    <w:next w:val="Navaden"/>
    <w:link w:val="Naslov1Znak"/>
    <w:qFormat/>
    <w:rsid w:val="00F016A5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1 Znak,H11 Znak,H12 Znak,H13 Znak"/>
    <w:basedOn w:val="Privzetapisavaodstavka"/>
    <w:link w:val="Naslov1"/>
    <w:rsid w:val="00F016A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F016A5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F016A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2566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566A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66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66A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log1">
    <w:name w:val="Slog1"/>
    <w:basedOn w:val="Navaden"/>
    <w:rsid w:val="00CD7826"/>
    <w:pPr>
      <w:numPr>
        <w:numId w:val="5"/>
      </w:numPr>
      <w:suppressAutoHyphens/>
    </w:pPr>
    <w:rPr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B27B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7B7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7B7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7B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7B7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31</cp:revision>
  <dcterms:created xsi:type="dcterms:W3CDTF">2019-10-17T07:26:00Z</dcterms:created>
  <dcterms:modified xsi:type="dcterms:W3CDTF">2020-05-08T12:12:00Z</dcterms:modified>
</cp:coreProperties>
</file>