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D5" w:rsidRPr="000C0A4E" w:rsidRDefault="006F67D5" w:rsidP="006F67D5">
      <w:pPr>
        <w:jc w:val="center"/>
        <w:rPr>
          <w:rFonts w:eastAsia="Arial Unicode MS"/>
          <w:b/>
        </w:rPr>
      </w:pPr>
      <w:r w:rsidRPr="000C0A4E">
        <w:rPr>
          <w:rFonts w:eastAsia="Arial Unicode MS"/>
          <w:b/>
        </w:rPr>
        <w:t>TEHNIČNE SPECIFIKACIJE</w:t>
      </w:r>
    </w:p>
    <w:p w:rsidR="006F67D5" w:rsidRPr="000C0A4E" w:rsidRDefault="006F67D5" w:rsidP="006F67D5">
      <w:pPr>
        <w:jc w:val="both"/>
      </w:pPr>
    </w:p>
    <w:p w:rsidR="006F67D5" w:rsidRDefault="006F67D5" w:rsidP="006F67D5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</w:p>
    <w:p w:rsidR="006F67D5" w:rsidRPr="00EA566C" w:rsidRDefault="006F67D5" w:rsidP="006F67D5">
      <w:pPr>
        <w:pStyle w:val="Slog1"/>
        <w:numPr>
          <w:ilvl w:val="0"/>
          <w:numId w:val="0"/>
        </w:numPr>
        <w:ind w:left="397" w:hanging="397"/>
        <w:rPr>
          <w:b/>
        </w:rPr>
      </w:pPr>
      <w:r w:rsidRPr="000C0A4E">
        <w:rPr>
          <w:rFonts w:eastAsia="Arial Unicode MS"/>
        </w:rPr>
        <w:t xml:space="preserve">Predmet naročila/opis predmeta naročila: </w:t>
      </w:r>
      <w:r w:rsidRPr="00EA566C">
        <w:rPr>
          <w:b/>
        </w:rPr>
        <w:t xml:space="preserve">dobava </w:t>
      </w:r>
      <w:r>
        <w:rPr>
          <w:b/>
        </w:rPr>
        <w:t>materialov za prekrivanje in zaščito operacijskega polja</w:t>
      </w:r>
    </w:p>
    <w:p w:rsidR="006F67D5" w:rsidRPr="000C0A4E" w:rsidRDefault="006F67D5" w:rsidP="006F67D5">
      <w:pPr>
        <w:pStyle w:val="Slog1"/>
        <w:numPr>
          <w:ilvl w:val="0"/>
          <w:numId w:val="0"/>
        </w:numPr>
        <w:ind w:left="397" w:hanging="397"/>
        <w:rPr>
          <w:rFonts w:eastAsia="Arial Unicode MS"/>
        </w:rPr>
      </w:pP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1: </w:t>
      </w:r>
      <w:r>
        <w:t xml:space="preserve">operacijski seti - po meri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2: Set univerzalni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3: Set za kolk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4: Set za ramo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5: operacijske rjuhe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6: ekstremitetne rjuhe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7: rjuhe za artroskopijo kolka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8: rjuhe za artroskopijo kolena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9: operacijske prevleke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10: operacijske zaščite za RTG aparat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11: operacijske zaščite za mini-C lok tip 1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12: operacijske zaščite za C lok </w:t>
      </w:r>
    </w:p>
    <w:p w:rsidR="006F67D5" w:rsidRPr="0097692E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97692E">
        <w:t xml:space="preserve">sklop 13: operacijske zaščite za mikroskop za posege na vratni hrbtenici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14: operacijske zaščite za UZ sondo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15: operacijski dodatki za prekrivanje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16: stockinete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17: zbiralne vrečke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18: operacijski plašči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19: incizijske folije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20: zaščitne rjuhe za operacijske mize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>sklop 21: škornji</w:t>
      </w:r>
      <w:r>
        <w:t xml:space="preserve">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22: kirurške maske – tip </w:t>
      </w:r>
      <w:r>
        <w:t>I</w:t>
      </w:r>
      <w:r w:rsidRPr="007553AF">
        <w:t xml:space="preserve">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23: kirurške maske -tip II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24: kape ortopedske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25: kape bolniške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26: prevleke za obuvala </w:t>
      </w:r>
    </w:p>
    <w:p w:rsidR="006F67D5" w:rsidRPr="007553AF" w:rsidRDefault="006F67D5" w:rsidP="006F67D5">
      <w:pPr>
        <w:pStyle w:val="Odstavekseznama"/>
        <w:numPr>
          <w:ilvl w:val="0"/>
          <w:numId w:val="6"/>
        </w:numPr>
        <w:suppressAutoHyphens w:val="0"/>
        <w:ind w:firstLine="414"/>
        <w:contextualSpacing/>
        <w:jc w:val="both"/>
      </w:pPr>
      <w:r w:rsidRPr="007553AF">
        <w:t xml:space="preserve">sklop 27: zaščitni plašči </w:t>
      </w:r>
    </w:p>
    <w:p w:rsidR="006F67D5" w:rsidRPr="000C0A4E" w:rsidRDefault="006F67D5" w:rsidP="006F67D5">
      <w:pPr>
        <w:pStyle w:val="Slog1"/>
        <w:numPr>
          <w:ilvl w:val="0"/>
          <w:numId w:val="0"/>
        </w:numPr>
        <w:ind w:left="397" w:hanging="397"/>
      </w:pPr>
    </w:p>
    <w:p w:rsidR="006F67D5" w:rsidRDefault="006F67D5" w:rsidP="006F67D5">
      <w:pPr>
        <w:pStyle w:val="Slog1"/>
        <w:numPr>
          <w:ilvl w:val="0"/>
          <w:numId w:val="0"/>
        </w:numPr>
        <w:ind w:left="397" w:hanging="397"/>
        <w:jc w:val="both"/>
      </w:pPr>
    </w:p>
    <w:p w:rsidR="006F67D5" w:rsidRPr="000C0A4E" w:rsidRDefault="006F67D5" w:rsidP="006F67D5">
      <w:pPr>
        <w:pStyle w:val="Slog1"/>
        <w:numPr>
          <w:ilvl w:val="0"/>
          <w:numId w:val="0"/>
        </w:numPr>
        <w:ind w:left="397" w:hanging="397"/>
        <w:jc w:val="both"/>
        <w:rPr>
          <w:b/>
        </w:rPr>
      </w:pPr>
      <w:r w:rsidRPr="000C0A4E">
        <w:t>Strokovne zahteve:</w:t>
      </w:r>
    </w:p>
    <w:p w:rsidR="006F67D5" w:rsidRPr="00BE2E33" w:rsidRDefault="006F67D5" w:rsidP="006F67D5">
      <w:pPr>
        <w:pStyle w:val="Slog1"/>
        <w:numPr>
          <w:ilvl w:val="0"/>
          <w:numId w:val="0"/>
        </w:numPr>
        <w:ind w:left="397" w:hanging="397"/>
        <w:jc w:val="both"/>
        <w:rPr>
          <w:rFonts w:eastAsia="Arial Unicode MS"/>
        </w:rPr>
      </w:pPr>
    </w:p>
    <w:tbl>
      <w:tblPr>
        <w:tblW w:w="9436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6"/>
      </w:tblGrid>
      <w:tr w:rsidR="006F67D5" w:rsidRPr="00BE2E33" w:rsidTr="00CB3B31">
        <w:trPr>
          <w:trHeight w:val="28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rPr>
                <w:rFonts w:eastAsiaTheme="minorHAnsi"/>
              </w:rPr>
            </w:pPr>
            <w:r w:rsidRPr="00BE2E33">
              <w:t>- navedene so minimalne dimenzije, dovoljena so odstopanja navzgor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r w:rsidRPr="00BE2E33">
              <w:t>- izdelki morajo ustrezati zahtevam EN13759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rPr>
                <w:b/>
                <w:bCs/>
              </w:rPr>
            </w:pPr>
            <w:r>
              <w:rPr>
                <w:b/>
                <w:bCs/>
              </w:rPr>
              <w:t>za sklop 1-9</w:t>
            </w:r>
            <w:r w:rsidRPr="00BE2E33">
              <w:rPr>
                <w:b/>
                <w:bCs/>
              </w:rPr>
              <w:t>:</w:t>
            </w:r>
          </w:p>
        </w:tc>
      </w:tr>
      <w:tr w:rsidR="006F67D5" w:rsidRPr="00BE2E33" w:rsidTr="00CB3B31">
        <w:trPr>
          <w:trHeight w:val="51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0"/>
              </w:numPr>
            </w:pPr>
            <w:r w:rsidRPr="00BE2E33">
              <w:t>izdelki morajo biti narejeni iz materialov, ki je zračen in ohranja trdnost v suhem in mokrem stanju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0"/>
              </w:numPr>
            </w:pPr>
            <w:r w:rsidRPr="00BE2E33">
              <w:t>izdelki so sterilni in za enkratno uporabo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823430" w:rsidRDefault="006F67D5" w:rsidP="00CB3B31">
            <w:pPr>
              <w:pStyle w:val="Odstavekseznama"/>
              <w:numPr>
                <w:ilvl w:val="0"/>
                <w:numId w:val="10"/>
              </w:numPr>
              <w:rPr>
                <w:b/>
                <w:bCs/>
              </w:rPr>
            </w:pPr>
            <w:r w:rsidRPr="00BE2E33">
              <w:t>izdelki so nevtralnega vonja in barv</w:t>
            </w:r>
            <w:r>
              <w:t>,</w:t>
            </w:r>
          </w:p>
        </w:tc>
      </w:tr>
      <w:tr w:rsidR="006F67D5" w:rsidRPr="00BE2E33" w:rsidTr="00CB3B31">
        <w:trPr>
          <w:trHeight w:val="31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0"/>
              </w:numPr>
            </w:pPr>
            <w:r w:rsidRPr="00BE2E33">
              <w:t>izdelki so voljni za oblikovanje in se pri prekrivanju lepo prilegajo ("nimajo spomina")</w:t>
            </w:r>
            <w:r>
              <w:t>,</w:t>
            </w:r>
          </w:p>
        </w:tc>
      </w:tr>
      <w:tr w:rsidR="006F67D5" w:rsidRPr="00BE2E33" w:rsidTr="00CB3B31">
        <w:trPr>
          <w:trHeight w:val="54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0"/>
              </w:numPr>
            </w:pPr>
            <w:r w:rsidRPr="00BE2E33">
              <w:t>navedena je minimalna sestava seta; ponudnik lahko ponudi set tudi po posameznih komponentah, vendar ne več kot dve dodatni komponenti</w:t>
            </w:r>
          </w:p>
        </w:tc>
      </w:tr>
      <w:tr w:rsidR="006F67D5" w:rsidRPr="00BE2E33" w:rsidTr="00CB3B31">
        <w:trPr>
          <w:trHeight w:val="51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0"/>
              </w:numPr>
            </w:pPr>
            <w:r w:rsidRPr="00BE2E33">
              <w:t>izdelki zagotavljajo vpijanje in zbiranje krvi ter tekočin na kritičnih mestih operativnega polja</w:t>
            </w:r>
          </w:p>
        </w:tc>
      </w:tr>
      <w:tr w:rsidR="006F67D5" w:rsidRPr="00BE2E33" w:rsidTr="00CB3B31">
        <w:trPr>
          <w:trHeight w:val="49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0"/>
              </w:numPr>
            </w:pPr>
            <w:r w:rsidRPr="00BE2E33">
              <w:t>vse op rjuhe morajo biti izdelane iz netkanega materiala, ki zagotavlja min odpuščanje delcev (po ISO 9073-10 maks.1,8 log(10) delcev)</w:t>
            </w:r>
          </w:p>
        </w:tc>
      </w:tr>
      <w:tr w:rsidR="006F67D5" w:rsidRPr="00BE2E33" w:rsidTr="00CB3B31">
        <w:trPr>
          <w:trHeight w:val="57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9"/>
              </w:numPr>
            </w:pPr>
            <w:r w:rsidRPr="00BE2E33">
              <w:lastRenderedPageBreak/>
              <w:t xml:space="preserve">vse op rjuhe morajo biti na kritičnih mestih popolnoma nepropustne za kri in ostale tekočine (dokazila po ASTM F1670-98, ASTM F1671-97 ali </w:t>
            </w:r>
            <w:r w:rsidRPr="00823430">
              <w:t>EN ISO 811:2018</w:t>
            </w:r>
            <w:r w:rsidRPr="00BE2E33">
              <w:t>)</w:t>
            </w:r>
            <w:r>
              <w:t>-</w:t>
            </w:r>
          </w:p>
        </w:tc>
      </w:tr>
      <w:tr w:rsidR="006F67D5" w:rsidRPr="00BE2E33" w:rsidTr="00CB3B31">
        <w:trPr>
          <w:trHeight w:val="51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9"/>
              </w:numPr>
            </w:pPr>
            <w:r w:rsidRPr="00BE2E33">
              <w:t>vse op rjuhe morajo biti na kritičnih mestih popolnoma nepropustne za mikroorgan</w:t>
            </w:r>
            <w:r>
              <w:t>izme (dokazila po EN ISO 22612 in EN ISO 22610),</w:t>
            </w:r>
          </w:p>
        </w:tc>
      </w:tr>
      <w:tr w:rsidR="006F67D5" w:rsidRPr="00BE2E33" w:rsidTr="00CB3B31">
        <w:trPr>
          <w:trHeight w:val="51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9"/>
              </w:numPr>
            </w:pPr>
            <w:r w:rsidRPr="00BE2E33">
              <w:t>ojačitve na op rjuhah morajo zagotavljati dodatno kapaciteto vpojnosti (dokazila po EN ISO 9073-6) in trdnost (dokazila po EN 13938-1)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9"/>
              </w:numPr>
            </w:pPr>
            <w:r w:rsidRPr="00BE2E33">
              <w:t>izdelki so pakirani v primarnih sterilnih zavojih, ki omogoča aseptično odpiranje</w:t>
            </w:r>
            <w:r>
              <w:t>.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rPr>
                <w:b/>
                <w:bCs/>
              </w:rPr>
            </w:pPr>
            <w:r w:rsidRPr="00BE2E33">
              <w:rPr>
                <w:b/>
                <w:bCs/>
              </w:rPr>
              <w:t>za sklop 18: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>rokav plašča mora biti spojen po zgornji strani, v primeru , da je spojen na spodnji strani, ne sme biti šivan, temveč ultrazvočno varjen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>pakiranje mora vsebovati vsaj eno brisačko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>plašči morajo biti iz polipropilen SMS materiala, ki je vodoodbojen in antistatično obdelan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>plašči morajo imeti manšete in zavezovanje na hrbtu, ki omogoča sterilno zaščito (preklopljeni na hrbtu)</w:t>
            </w:r>
            <w:r>
              <w:t>,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>plašči morajo biti zračni (dokazila po ASTM E96)</w:t>
            </w:r>
            <w:r>
              <w:t>,</w:t>
            </w:r>
          </w:p>
        </w:tc>
      </w:tr>
      <w:tr w:rsidR="006F67D5" w:rsidRPr="00BE2E33" w:rsidTr="00CB3B31">
        <w:trPr>
          <w:trHeight w:val="510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 xml:space="preserve">ojačitve so iz polipropilen SMS materiala, na kritičnih mestih (rokavi, prednji del trupa) </w:t>
            </w:r>
          </w:p>
          <w:p w:rsidR="006F67D5" w:rsidRPr="00BE2E33" w:rsidRDefault="006F67D5" w:rsidP="00CB3B31">
            <w:pPr>
              <w:pStyle w:val="Odstavekseznama"/>
              <w:numPr>
                <w:ilvl w:val="0"/>
                <w:numId w:val="8"/>
              </w:numPr>
            </w:pPr>
            <w:r w:rsidRPr="00BE2E33">
              <w:t>propustnost tekočin po EN</w:t>
            </w:r>
            <w:r>
              <w:t xml:space="preserve"> ISO </w:t>
            </w:r>
            <w:r w:rsidRPr="00823430">
              <w:t>811:2018</w:t>
            </w:r>
            <w:r w:rsidRPr="00BE2E33">
              <w:t xml:space="preserve"> najmanj 90cmH2O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F67D5" w:rsidRPr="00BE2E33" w:rsidRDefault="006F67D5" w:rsidP="00CB3B31"/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rPr>
                <w:b/>
                <w:bCs/>
              </w:rPr>
            </w:pPr>
            <w:r w:rsidRPr="00BE2E33">
              <w:rPr>
                <w:b/>
                <w:bCs/>
              </w:rPr>
              <w:t>za sklop 19: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1"/>
              </w:numPr>
            </w:pPr>
            <w:r w:rsidRPr="00BE2E33">
              <w:t>folije so narejene iz filma, ki koži omogoča dihanje, kar zagotavlja dobro lepljivost tudi pri daljših operacijah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1"/>
              </w:numPr>
            </w:pPr>
            <w:r w:rsidRPr="00BE2E33">
              <w:t>lepilo mora biti hipoalergeno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1"/>
              </w:numPr>
            </w:pPr>
            <w:r w:rsidRPr="00BE2E33">
              <w:t>folija se mora dobro prilegati telesnim okončinam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1"/>
              </w:numPr>
            </w:pPr>
            <w:r w:rsidRPr="00BE2E33">
              <w:t>struktura folije mora omogočati premikanje okončin ali močno retrakcijo brez pojava strižnih sil na koži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1"/>
              </w:numPr>
            </w:pPr>
            <w:r w:rsidRPr="00BE2E33">
              <w:t>izdelki so sterilni, pakirani posamično v zavojih, ki omogočajo aseptično odpiranje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rPr>
                <w:b/>
                <w:bCs/>
              </w:rPr>
            </w:pPr>
            <w:r w:rsidRPr="00BE2E33">
              <w:rPr>
                <w:b/>
                <w:bCs/>
              </w:rPr>
              <w:t>za sklop 20: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2"/>
              </w:numPr>
            </w:pPr>
            <w:r w:rsidRPr="00BE2E33">
              <w:t>visoko vpojne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2"/>
              </w:numPr>
            </w:pPr>
            <w:r w:rsidRPr="00BE2E33">
              <w:t>tudi mokre se pod težo bolnika ne gubajo</w:t>
            </w:r>
          </w:p>
        </w:tc>
      </w:tr>
      <w:tr w:rsidR="006F67D5" w:rsidRPr="00BE2E33" w:rsidTr="00CB3B31">
        <w:trPr>
          <w:trHeight w:val="255"/>
        </w:trPr>
        <w:tc>
          <w:tcPr>
            <w:tcW w:w="943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F67D5" w:rsidRPr="00BE2E33" w:rsidRDefault="006F67D5" w:rsidP="00CB3B31">
            <w:pPr>
              <w:pStyle w:val="Odstavekseznama"/>
              <w:numPr>
                <w:ilvl w:val="0"/>
                <w:numId w:val="12"/>
              </w:numPr>
            </w:pPr>
            <w:r w:rsidRPr="00BE2E33">
              <w:t>primerne za kontaktno zaščito bolnika med operacijo</w:t>
            </w:r>
          </w:p>
        </w:tc>
      </w:tr>
    </w:tbl>
    <w:p w:rsidR="006F67D5" w:rsidRPr="000C0A4E" w:rsidRDefault="006F67D5" w:rsidP="006F67D5">
      <w:pPr>
        <w:pStyle w:val="Slog1"/>
        <w:numPr>
          <w:ilvl w:val="0"/>
          <w:numId w:val="0"/>
        </w:numPr>
        <w:ind w:left="397" w:hanging="397"/>
        <w:jc w:val="both"/>
        <w:rPr>
          <w:lang w:eastAsia="sl-SI"/>
        </w:rPr>
      </w:pPr>
    </w:p>
    <w:p w:rsidR="006F67D5" w:rsidRPr="000C0A4E" w:rsidRDefault="006F67D5" w:rsidP="006F67D5">
      <w:pPr>
        <w:pStyle w:val="Slog1"/>
        <w:numPr>
          <w:ilvl w:val="0"/>
          <w:numId w:val="0"/>
        </w:numPr>
        <w:ind w:left="397" w:hanging="397"/>
        <w:jc w:val="both"/>
        <w:rPr>
          <w:rFonts w:eastAsia="Arial Unicode MS"/>
        </w:rPr>
      </w:pPr>
    </w:p>
    <w:p w:rsidR="006F67D5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Lokacija dobave: Lekarna Ortopedske bolnišnice Valdoltra.</w:t>
      </w:r>
    </w:p>
    <w:p w:rsidR="006F67D5" w:rsidRDefault="006F67D5" w:rsidP="006F67D5">
      <w:pPr>
        <w:pStyle w:val="Odstavekseznama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>Količine so okvirne.</w:t>
      </w:r>
    </w:p>
    <w:p w:rsidR="006F67D5" w:rsidRPr="000C0A4E" w:rsidRDefault="006F67D5" w:rsidP="006F67D5">
      <w:pPr>
        <w:jc w:val="both"/>
        <w:rPr>
          <w:rFonts w:eastAsia="Arial Unicode MS"/>
        </w:rPr>
      </w:pPr>
    </w:p>
    <w:p w:rsidR="006F67D5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Roki: dobave v roku 24 ur od naročila naročnika.</w:t>
      </w:r>
    </w:p>
    <w:p w:rsidR="006F67D5" w:rsidRDefault="006F67D5" w:rsidP="006F67D5">
      <w:pPr>
        <w:pStyle w:val="Odstavekseznama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>
        <w:rPr>
          <w:rFonts w:eastAsia="Arial Unicode MS"/>
        </w:rPr>
        <w:t xml:space="preserve">Vsi </w:t>
      </w:r>
      <w:r w:rsidRPr="00B30068">
        <w:rPr>
          <w:rFonts w:eastAsia="Arial Unicode MS"/>
        </w:rPr>
        <w:t>po</w:t>
      </w:r>
      <w:r>
        <w:rPr>
          <w:rFonts w:eastAsia="Arial Unicode MS"/>
        </w:rPr>
        <w:t>nujeni proizvodi po posameznih sklopih</w:t>
      </w:r>
      <w:r w:rsidRPr="00B30068">
        <w:rPr>
          <w:rFonts w:eastAsia="Arial Unicode MS"/>
        </w:rPr>
        <w:t xml:space="preserve"> morajo ustrezati vsem opredeljenim strokovnim zahtevam naročnika</w:t>
      </w:r>
    </w:p>
    <w:p w:rsidR="006F67D5" w:rsidRPr="000C0A4E" w:rsidRDefault="006F67D5" w:rsidP="006F67D5">
      <w:pPr>
        <w:pStyle w:val="Odstavekseznama"/>
        <w:jc w:val="both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Rok trajanja: dostavljeni medicinski pripomočki morajo imeti rok trajanja uporabe najmanj še eno leto od dneva dobave.</w:t>
      </w:r>
    </w:p>
    <w:p w:rsidR="006F67D5" w:rsidRPr="000C0A4E" w:rsidRDefault="006F67D5" w:rsidP="006F67D5">
      <w:pPr>
        <w:pStyle w:val="Odstavekseznama"/>
        <w:jc w:val="both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>Za vsak ponujeni proizvod je potrebno navesti proizvajalca, naziv in kataloško številko.</w:t>
      </w:r>
    </w:p>
    <w:p w:rsidR="006F67D5" w:rsidRPr="000C0A4E" w:rsidRDefault="006F67D5" w:rsidP="006F67D5">
      <w:pPr>
        <w:pStyle w:val="Odstavekseznama"/>
        <w:jc w:val="both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t xml:space="preserve">Priložiti </w:t>
      </w:r>
      <w:r w:rsidRPr="00B30068">
        <w:rPr>
          <w:rFonts w:eastAsia="Arial Unicode MS"/>
        </w:rPr>
        <w:t>ustrezne dokumente za dokazovanje skladnosti z evropsko direktivo o medicinskih pripomočkih 93/42 EEC</w:t>
      </w:r>
      <w:r>
        <w:rPr>
          <w:rFonts w:eastAsia="Arial Unicode MS"/>
        </w:rPr>
        <w:t xml:space="preserve"> - </w:t>
      </w:r>
      <w:r w:rsidRPr="000C0A4E">
        <w:rPr>
          <w:rFonts w:eastAsia="Arial Unicode MS"/>
        </w:rPr>
        <w:t>CE certifikat in izjavo o skladnosti za vse ponujene medicinske pripomočke.</w:t>
      </w:r>
    </w:p>
    <w:p w:rsidR="006F67D5" w:rsidRPr="000C0A4E" w:rsidRDefault="006F67D5" w:rsidP="006F67D5">
      <w:pPr>
        <w:pStyle w:val="Odstavekseznama"/>
        <w:jc w:val="both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rPr>
          <w:rFonts w:eastAsia="Arial Unicode MS"/>
        </w:rPr>
        <w:lastRenderedPageBreak/>
        <w:t>priložiti katalog proizvajalca, iz katerega je razvidna kataloška številka izdelka z opisom za vse ponujene proizvode.</w:t>
      </w:r>
    </w:p>
    <w:p w:rsidR="006F67D5" w:rsidRPr="000C0A4E" w:rsidRDefault="006F67D5" w:rsidP="006F67D5">
      <w:pPr>
        <w:pStyle w:val="Odstavekseznama"/>
        <w:jc w:val="both"/>
        <w:rPr>
          <w:rFonts w:eastAsia="Arial Unicode MS"/>
        </w:rPr>
      </w:pPr>
    </w:p>
    <w:p w:rsidR="006F67D5" w:rsidRPr="000C0A4E" w:rsidRDefault="006F67D5" w:rsidP="006F67D5">
      <w:pPr>
        <w:pStyle w:val="Slog1"/>
        <w:numPr>
          <w:ilvl w:val="0"/>
          <w:numId w:val="5"/>
        </w:numPr>
        <w:jc w:val="both"/>
        <w:rPr>
          <w:rFonts w:eastAsia="Arial Unicode MS"/>
        </w:rPr>
      </w:pPr>
      <w:r w:rsidRPr="000C0A4E">
        <w:t xml:space="preserve">Ponudniki morajo predložiti vzorce ponujenih izdelkov tekom postopka strokovnega ocenjevanja ponudb na morebitno naročnikovo zahtevo. Ponudniki morajo dostaviti vzorce na dan, ki ga bo določil naročnik, vendar ne prej kot v roku 5 dni od naročnikove zahteve. V primeru, da kandidat ne dostavi vzorcev oz. jih ne dostavi v predpisanem roku, bo naročnik smatral, da odstopa od ponudbe. Po ocenjevanju bo naročnik odločil, ali ponujeni </w:t>
      </w:r>
      <w:r>
        <w:t>artikli izpolnjujejo</w:t>
      </w:r>
      <w:r w:rsidRPr="000C0A4E">
        <w:t xml:space="preserve"> strokovne zahteve naročnika.</w:t>
      </w:r>
    </w:p>
    <w:p w:rsidR="006F67D5" w:rsidRPr="000C0A4E" w:rsidRDefault="006F67D5" w:rsidP="006F67D5">
      <w:pPr>
        <w:pStyle w:val="Slog1"/>
        <w:numPr>
          <w:ilvl w:val="0"/>
          <w:numId w:val="0"/>
        </w:numPr>
        <w:ind w:left="900"/>
        <w:jc w:val="both"/>
        <w:rPr>
          <w:rFonts w:eastAsia="Arial Unicode MS"/>
          <w:i/>
        </w:rPr>
      </w:pPr>
    </w:p>
    <w:p w:rsidR="006F67D5" w:rsidRPr="000C0A4E" w:rsidRDefault="006F67D5" w:rsidP="006F67D5">
      <w:pPr>
        <w:pStyle w:val="Slog1"/>
        <w:numPr>
          <w:ilvl w:val="0"/>
          <w:numId w:val="0"/>
        </w:numPr>
      </w:pPr>
    </w:p>
    <w:p w:rsidR="006F67D5" w:rsidRPr="000C0A4E" w:rsidRDefault="006F67D5" w:rsidP="006F67D5"/>
    <w:p w:rsidR="001F5901" w:rsidRPr="006F67D5" w:rsidRDefault="008D5EC7" w:rsidP="006F67D5">
      <w:bookmarkStart w:id="0" w:name="_GoBack"/>
      <w:bookmarkEnd w:id="0"/>
    </w:p>
    <w:sectPr w:rsidR="001F5901" w:rsidRPr="006F67D5" w:rsidSect="009757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EC7" w:rsidRDefault="008D5EC7" w:rsidP="00D21A7F">
      <w:r>
        <w:separator/>
      </w:r>
    </w:p>
  </w:endnote>
  <w:endnote w:type="continuationSeparator" w:id="0">
    <w:p w:rsidR="008D5EC7" w:rsidRDefault="008D5EC7" w:rsidP="00D2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etaPro-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053DE" w:rsidRDefault="008D5EC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Default="00CD027A" w:rsidP="00955D4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F67D5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147540" w:rsidRPr="00B65863" w:rsidRDefault="00147540" w:rsidP="00147540">
    <w:pPr>
      <w:pStyle w:val="Noga"/>
      <w:pBdr>
        <w:top w:val="single" w:sz="4" w:space="1" w:color="auto"/>
      </w:pBdr>
      <w:rPr>
        <w:rFonts w:cs="Arial"/>
        <w:sz w:val="18"/>
        <w:szCs w:val="18"/>
      </w:rPr>
    </w:pPr>
    <w:r>
      <w:rPr>
        <w:sz w:val="18"/>
        <w:szCs w:val="18"/>
      </w:rPr>
      <w:t>Material za prekrivanje in zaščito op polja</w:t>
    </w:r>
    <w:r w:rsidRPr="00B65863">
      <w:rPr>
        <w:rFonts w:cs="Arial"/>
        <w:sz w:val="18"/>
        <w:szCs w:val="18"/>
      </w:rPr>
      <w:t xml:space="preserve"> (JN </w:t>
    </w:r>
    <w:r>
      <w:rPr>
        <w:rFonts w:cs="Arial"/>
        <w:sz w:val="18"/>
        <w:szCs w:val="18"/>
      </w:rPr>
      <w:t>16</w:t>
    </w:r>
    <w:r w:rsidRPr="00B65863">
      <w:rPr>
        <w:rFonts w:cs="Arial"/>
        <w:sz w:val="18"/>
        <w:szCs w:val="18"/>
      </w:rPr>
      <w:t>-2019)</w:t>
    </w:r>
  </w:p>
  <w:p w:rsidR="00B053DE" w:rsidRDefault="008D5EC7" w:rsidP="00F71E4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D21A7F" w:rsidRDefault="002C1565" w:rsidP="00CC65A5">
    <w:pPr>
      <w:pStyle w:val="Noga"/>
      <w:pBdr>
        <w:top w:val="single" w:sz="4" w:space="1" w:color="auto"/>
      </w:pBdr>
      <w:tabs>
        <w:tab w:val="clear" w:pos="4536"/>
        <w:tab w:val="clear" w:pos="9072"/>
      </w:tabs>
      <w:rPr>
        <w:sz w:val="20"/>
        <w:szCs w:val="20"/>
      </w:rPr>
    </w:pPr>
    <w:r>
      <w:rPr>
        <w:sz w:val="20"/>
        <w:szCs w:val="20"/>
      </w:rPr>
      <w:t>Materiali za prekrivanje in zaščito operacijskega polja</w:t>
    </w:r>
    <w:r w:rsidR="00CD027A" w:rsidRPr="00D21A7F">
      <w:rPr>
        <w:sz w:val="20"/>
        <w:szCs w:val="20"/>
      </w:rPr>
      <w:t xml:space="preserve">  (</w:t>
    </w:r>
    <w:r w:rsidR="00D21A7F" w:rsidRPr="00D21A7F">
      <w:rPr>
        <w:sz w:val="20"/>
        <w:szCs w:val="20"/>
      </w:rPr>
      <w:t xml:space="preserve">JN </w:t>
    </w:r>
    <w:r>
      <w:rPr>
        <w:sz w:val="20"/>
        <w:szCs w:val="20"/>
      </w:rPr>
      <w:t>16</w:t>
    </w:r>
    <w:r w:rsidR="00D21A7F" w:rsidRPr="00D21A7F">
      <w:rPr>
        <w:sz w:val="20"/>
        <w:szCs w:val="20"/>
      </w:rPr>
      <w:t>-2019</w:t>
    </w:r>
    <w:r w:rsidR="00CD027A" w:rsidRPr="00D21A7F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EC7" w:rsidRDefault="008D5EC7" w:rsidP="00D21A7F">
      <w:r>
        <w:separator/>
      </w:r>
    </w:p>
  </w:footnote>
  <w:footnote w:type="continuationSeparator" w:id="0">
    <w:p w:rsidR="008D5EC7" w:rsidRDefault="008D5EC7" w:rsidP="00D21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1B1D79" w:rsidRDefault="008D5EC7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3DE" w:rsidRPr="00390DBF" w:rsidRDefault="00CD027A" w:rsidP="00202A5E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1433"/>
    <w:multiLevelType w:val="hybridMultilevel"/>
    <w:tmpl w:val="31A602A0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D4680"/>
    <w:multiLevelType w:val="hybridMultilevel"/>
    <w:tmpl w:val="DB76C694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33032"/>
    <w:multiLevelType w:val="hybridMultilevel"/>
    <w:tmpl w:val="4CAE4016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459D6"/>
    <w:multiLevelType w:val="hybridMultilevel"/>
    <w:tmpl w:val="4002EE26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B72D2"/>
    <w:multiLevelType w:val="hybridMultilevel"/>
    <w:tmpl w:val="71AE7C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80092F"/>
    <w:multiLevelType w:val="hybridMultilevel"/>
    <w:tmpl w:val="1BFE1F7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C2BA4"/>
    <w:multiLevelType w:val="hybridMultilevel"/>
    <w:tmpl w:val="B890FD08"/>
    <w:lvl w:ilvl="0" w:tplc="397481C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Garamond" w:eastAsia="Garamond" w:hAnsi="Garamond" w:cs="Garamond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305BD1"/>
    <w:multiLevelType w:val="hybridMultilevel"/>
    <w:tmpl w:val="5C6AC17A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B6165"/>
    <w:multiLevelType w:val="hybridMultilevel"/>
    <w:tmpl w:val="6D362FEE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E0F"/>
    <w:multiLevelType w:val="hybridMultilevel"/>
    <w:tmpl w:val="9774C6BA"/>
    <w:lvl w:ilvl="0" w:tplc="87C2AF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21F"/>
    <w:rsid w:val="00045779"/>
    <w:rsid w:val="000C0A4E"/>
    <w:rsid w:val="000D793C"/>
    <w:rsid w:val="00102390"/>
    <w:rsid w:val="00147540"/>
    <w:rsid w:val="00254C04"/>
    <w:rsid w:val="002C1565"/>
    <w:rsid w:val="003A2050"/>
    <w:rsid w:val="003B7DA8"/>
    <w:rsid w:val="003E479A"/>
    <w:rsid w:val="00423B2D"/>
    <w:rsid w:val="006325AB"/>
    <w:rsid w:val="006B7A68"/>
    <w:rsid w:val="006F67D5"/>
    <w:rsid w:val="00781C9F"/>
    <w:rsid w:val="0079583F"/>
    <w:rsid w:val="008D5EC7"/>
    <w:rsid w:val="008E421F"/>
    <w:rsid w:val="009F3B8B"/>
    <w:rsid w:val="00B24397"/>
    <w:rsid w:val="00B30068"/>
    <w:rsid w:val="00B54659"/>
    <w:rsid w:val="00BE2E33"/>
    <w:rsid w:val="00C32818"/>
    <w:rsid w:val="00C64A8A"/>
    <w:rsid w:val="00CD027A"/>
    <w:rsid w:val="00CF4C4B"/>
    <w:rsid w:val="00D21A7F"/>
    <w:rsid w:val="00E0357F"/>
    <w:rsid w:val="00EA566C"/>
    <w:rsid w:val="00F16D9B"/>
    <w:rsid w:val="00F2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8DC1"/>
  <w15:docId w15:val="{0DA6E984-A2FB-4261-9D43-92B3AAAF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E42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aliases w:val="H1,H11,H12,H13"/>
    <w:basedOn w:val="Navaden"/>
    <w:link w:val="Naslov1Znak"/>
    <w:uiPriority w:val="9"/>
    <w:qFormat/>
    <w:rsid w:val="00BE2E33"/>
    <w:pPr>
      <w:keepNext/>
      <w:suppressAutoHyphens w:val="0"/>
      <w:outlineLvl w:val="0"/>
    </w:pPr>
    <w:rPr>
      <w:rFonts w:eastAsiaTheme="minorHAnsi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E42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rsid w:val="008E42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E42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tevilkastrani">
    <w:name w:val="page number"/>
    <w:basedOn w:val="Privzetapisavaodstavka"/>
    <w:rsid w:val="008E421F"/>
  </w:style>
  <w:style w:type="paragraph" w:customStyle="1" w:styleId="Slog1">
    <w:name w:val="Slog1"/>
    <w:basedOn w:val="Navaden"/>
    <w:rsid w:val="008E421F"/>
    <w:pPr>
      <w:numPr>
        <w:numId w:val="1"/>
      </w:numPr>
    </w:pPr>
  </w:style>
  <w:style w:type="paragraph" w:styleId="Odstavekseznama">
    <w:name w:val="List Paragraph"/>
    <w:basedOn w:val="Navaden"/>
    <w:link w:val="OdstavekseznamaZnak"/>
    <w:uiPriority w:val="34"/>
    <w:qFormat/>
    <w:rsid w:val="008E421F"/>
    <w:pPr>
      <w:ind w:left="708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566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566C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OdstavekseznamaZnak">
    <w:name w:val="Odstavek seznama Znak"/>
    <w:link w:val="Odstavekseznama"/>
    <w:uiPriority w:val="34"/>
    <w:locked/>
    <w:rsid w:val="00423B2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Znak">
    <w:name w:val="Naslov 1 Znak"/>
    <w:aliases w:val="H1 Znak,H11 Znak,H12 Znak,H13 Znak"/>
    <w:basedOn w:val="Privzetapisavaodstavka"/>
    <w:link w:val="Naslov1"/>
    <w:uiPriority w:val="9"/>
    <w:rsid w:val="00BE2E33"/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13</cp:revision>
  <cp:lastPrinted>2019-03-13T11:20:00Z</cp:lastPrinted>
  <dcterms:created xsi:type="dcterms:W3CDTF">2019-02-18T12:19:00Z</dcterms:created>
  <dcterms:modified xsi:type="dcterms:W3CDTF">2019-10-11T07:25:00Z</dcterms:modified>
</cp:coreProperties>
</file>